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hanging="2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color w:val="00000A"/>
        </w:rPr>
        <w:t xml:space="preserve">                       </w:t>
      </w:r>
      <w:r>
        <w:rPr/>
        <w:drawing>
          <wp:inline distT="0" distB="0" distL="0" distR="0">
            <wp:extent cx="6120130" cy="153035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A"/>
        </w:rPr>
        <w:t xml:space="preserve">                           </w:t>
      </w:r>
    </w:p>
    <w:p>
      <w:pPr>
        <w:pStyle w:val="Normal"/>
        <w:pBdr/>
        <w:ind w:hanging="2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ind w:hanging="2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pBdr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pBdr/>
        <w:ind w:hanging="2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>Tunnustamise statuut</w:t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AASTA ÕPPIJASÕBRALIK TÖÖANDJA</w:t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Tunnustamise eesmärk on väärtustada elukestvat õppimist.</w:t>
      </w:r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Tunnustamiseks võivad kandidaadi esitada kõik juriidilised ja füüsilised isikud. Palume esitamisel võtta aluseks abistavad küsimused, mis aitavad valida parima kandidaadi võrdsetel alustel. Palume tuua konkreetseid näiteid kandidaadi saavutustest.</w:t>
      </w:r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Konkursi eesmärk on aasta õppijasõbraliku tööandja tiitli kaudu võimendada tööandja positiivset kuvandit.  </w:t>
      </w:r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Võitjal on võimalus enda positiivset kuvandit õppimise toetamisel töövõtjatele tutvustada ja innustada teisi tööandjaid panustama töötajate enesetäiendamise võimalustesse oma ettevõttes.</w:t>
      </w:r>
    </w:p>
    <w:p>
      <w:pPr>
        <w:pStyle w:val="Normal"/>
        <w:pBdr/>
        <w:ind w:hanging="2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before="280" w:after="280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Aasta õppijasõbralik tööandja</w:t>
      </w:r>
      <w:r>
        <w:rPr>
          <w:rFonts w:eastAsia="Verdana" w:cs="Verdana" w:ascii="Verdana" w:hAnsi="Verdana"/>
          <w:sz w:val="20"/>
          <w:szCs w:val="20"/>
        </w:rPr>
        <w:t xml:space="preserve"> on organisatsioon, kus …</w:t>
      </w:r>
    </w:p>
    <w:p>
      <w:pPr>
        <w:pStyle w:val="Normal"/>
        <w:numPr>
          <w:ilvl w:val="0"/>
          <w:numId w:val="1"/>
        </w:numPr>
        <w:pBdr/>
        <w:spacing w:before="280" w:after="0"/>
        <w:ind w:left="0" w:hanging="2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toetatakse pidevalt töötajate arengut ja innustatakse õppima;</w:t>
      </w:r>
    </w:p>
    <w:p>
      <w:pPr>
        <w:pStyle w:val="Normal"/>
        <w:numPr>
          <w:ilvl w:val="0"/>
          <w:numId w:val="1"/>
        </w:numPr>
        <w:pBdr/>
        <w:ind w:left="0" w:hanging="2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soodustatakse mitmekesist karjääri, sh oskuste nüüdisajastamist, investeeritakse töötajate ümberõppesse;</w:t>
      </w:r>
    </w:p>
    <w:p>
      <w:pPr>
        <w:pStyle w:val="Normal"/>
        <w:numPr>
          <w:ilvl w:val="0"/>
          <w:numId w:val="1"/>
        </w:numPr>
        <w:pBdr/>
        <w:ind w:left="0" w:hanging="2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toetatakse töötajaid uute  tehnoloogiate ja meetodite kasutuselevõtmisel (digitaalsete kompetentside õppimine ja õpetamine);</w:t>
      </w:r>
    </w:p>
    <w:p>
      <w:pPr>
        <w:pStyle w:val="Normal"/>
        <w:numPr>
          <w:ilvl w:val="0"/>
          <w:numId w:val="1"/>
        </w:numPr>
        <w:pBdr/>
        <w:ind w:left="0" w:hanging="2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jagatakse kogemusi;</w:t>
      </w:r>
    </w:p>
    <w:p>
      <w:pPr>
        <w:pStyle w:val="Normal"/>
        <w:numPr>
          <w:ilvl w:val="0"/>
          <w:numId w:val="1"/>
        </w:numPr>
        <w:pBdr/>
        <w:ind w:left="0" w:hanging="2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luuakse praktikavõimalusi;</w:t>
      </w:r>
    </w:p>
    <w:p>
      <w:pPr>
        <w:pStyle w:val="Normal"/>
        <w:numPr>
          <w:ilvl w:val="0"/>
          <w:numId w:val="1"/>
        </w:numPr>
        <w:pBdr/>
        <w:ind w:left="0" w:hanging="2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 w:themeColor="text1"/>
          <w:sz w:val="20"/>
          <w:szCs w:val="20"/>
        </w:rPr>
        <w:t>ollakse sotsiaalselt vastutustundlik õpivõimaluste loomisel, tehes koostööd teiste organisatsioonide ja sotsiaalsete partneritega.</w:t>
      </w:r>
      <w:bookmarkStart w:id="0" w:name="_Hlk100656294"/>
      <w:bookmarkEnd w:id="0"/>
    </w:p>
    <w:p>
      <w:pPr>
        <w:pStyle w:val="Normal"/>
        <w:ind w:hanging="2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0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¤ Kirjuta ankeeti nii palju andmeid, kui Sa kandidaadi kohta tead.</w:t>
      </w:r>
    </w:p>
    <w:p>
      <w:pPr>
        <w:pStyle w:val="Normal"/>
        <w:ind w:hanging="0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 Kandidaadi andmed</w:t>
      </w:r>
    </w:p>
    <w:tbl>
      <w:tblPr>
        <w:tblW w:w="963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4497"/>
        <w:gridCol w:w="5141"/>
      </w:tblGrid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Nimi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Aadress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Maakond/vald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Telefon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i/>
                <w:i/>
                <w:iCs/>
                <w:sz w:val="20"/>
                <w:szCs w:val="20"/>
              </w:rPr>
            </w:pPr>
            <w:r>
              <w:rPr>
                <w:rFonts w:eastAsia="Verdana" w:cs="Verdana" w:ascii="Verdana" w:hAnsi="Verdana"/>
                <w:i/>
                <w:iCs/>
                <w:sz w:val="20"/>
                <w:szCs w:val="20"/>
              </w:rPr>
              <w:t>(kontaktisik, personalijuht vms)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E-post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Koduleht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 Esitaja andmed</w:t>
      </w:r>
    </w:p>
    <w:tbl>
      <w:tblPr>
        <w:tblW w:w="963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4497"/>
        <w:gridCol w:w="5141"/>
      </w:tblGrid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Nimi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Organisatsioon/amet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Telefon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E-post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III Õppijate toetamine ja motiveerimine</w:t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tbl>
      <w:tblPr>
        <w:tblW w:w="9742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4545"/>
        <w:gridCol w:w="5196"/>
      </w:tblGrid>
      <w:tr>
        <w:trPr>
          <w:trHeight w:val="686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Milliseid enesetäiendamise võimalusi organisatsioon oma töötajatele pakub?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tähemärki)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Kuidas toetab organisatsioon töötajate arengut ja õppimist?</w:t>
            </w:r>
            <w:r>
              <w:rPr>
                <w:rFonts w:eastAsia="Verdana"/>
              </w:rPr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tähemärki)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1373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Kuidas toetab organisatsioon uusi töötajaid (juhendamine, väljaõpe, sisseelamisprogramm)?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tähemärki)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IV Organisatsiooni arendamine</w:t>
      </w:r>
    </w:p>
    <w:tbl>
      <w:tblPr>
        <w:tblW w:w="963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4497"/>
        <w:gridCol w:w="5141"/>
      </w:tblGrid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Kuidas kajastub töötajate enesetäiendamine ja uute oskuste omandamine organisatsiooni prioriteetides, arengukavas, strateegilistes plaanides, koolituskavas?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tähemärki)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650" w:hRule="atLeast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80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jagatakse organisatsiooni sees töötajate omavahelisi kogemusi?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tähemärki)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80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võetakse kasutusele uusi tehnoloogiaid ja meetodeid, näiteks digitaalsete kompetentside õppimine ja õpetamine?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tähemärki)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 xml:space="preserve">V Mõju </w:t>
        <w:br/>
      </w:r>
    </w:p>
    <w:tbl>
      <w:tblPr>
        <w:tblW w:w="963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Kuidas on organisatsiooni panustamine elukestvasse õppesse toetanud organisatsiooni arengut? Millist mõju on õppimise soodustamine ja õppimisvõimaluste pakkumine avaldanud organisatsioonile? 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300 tähemärki)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VI Sotsiaalne vastutus</w:t>
      </w:r>
    </w:p>
    <w:tbl>
      <w:tblPr>
        <w:tblW w:w="963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4497"/>
        <w:gridCol w:w="5141"/>
      </w:tblGrid>
      <w:tr>
        <w:trPr>
          <w:trHeight w:val="806" w:hRule="atLeast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teeb organisatsioon koostööd partneritega (erialaliidud, MTÜd, õppeasutused jne)?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200 tähemärki)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pakub organisatsioon praktikavõimalusi?</w:t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200 tähemärki)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Kas ja kuidas pakub organisatsioon võimalusi töövarjupäeval osalejatele?</w:t>
            </w:r>
            <w:r>
              <w:rPr>
                <w:rFonts w:eastAsia="Verdana"/>
              </w:rPr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200 tähemärki)</w:t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left="-2" w:hanging="0"/>
        <w:rPr>
          <w:rFonts w:ascii="Calibri" w:hAnsi="Calibri" w:eastAsia="Calibri" w:cs="Calibri"/>
          <w:b/>
          <w:b/>
        </w:rPr>
      </w:pPr>
      <w:r>
        <w:rPr>
          <w:rFonts w:eastAsia="Verdana" w:cs="Verdana" w:ascii="Verdana" w:hAnsi="Verdana"/>
          <w:b/>
          <w:sz w:val="20"/>
          <w:szCs w:val="20"/>
        </w:rPr>
        <w:t xml:space="preserve"> </w:t>
      </w:r>
      <w:r>
        <w:rPr>
          <w:rFonts w:eastAsia="Verdana" w:cs="Verdana" w:ascii="Verdana" w:hAnsi="Verdana"/>
          <w:b/>
          <w:sz w:val="20"/>
          <w:szCs w:val="20"/>
        </w:rPr>
        <w:t>VII Kirjuta, miks väärib esiletõstmist just see organisatsioon</w:t>
        <w:br/>
      </w:r>
      <w:r>
        <w:rPr>
          <w:rFonts w:eastAsia="Calibri" w:cs="Calibri" w:ascii="Calibri" w:hAnsi="Calibri"/>
          <w:i/>
          <w:highlight w:val="lightGray"/>
        </w:rPr>
        <w:t>(kuni 200 tähemärki)</w:t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tbl>
      <w:tblPr>
        <w:tblW w:w="9923" w:type="dxa"/>
        <w:jc w:val="left"/>
        <w:tblInd w:w="-1" w:type="dxa"/>
        <w:tblLayout w:type="fixed"/>
        <w:tblCellMar>
          <w:top w:w="80" w:type="dxa"/>
          <w:left w:w="114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9923"/>
      </w:tblGrid>
      <w:tr>
        <w:trPr>
          <w:trHeight w:val="360" w:hRule="atLeast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Vaata lisaks: </w:t>
      </w:r>
      <w:hyperlink r:id="rId3">
        <w:r>
          <w:rPr>
            <w:rStyle w:val="Internetilink"/>
            <w:rFonts w:eastAsia="Calibri" w:cs="Calibri" w:ascii="Calibri" w:hAnsi="Calibri"/>
          </w:rPr>
          <w:t>https://andras.ee/tunnustamine</w:t>
        </w:r>
      </w:hyperlink>
    </w:p>
    <w:p>
      <w:pPr>
        <w:pStyle w:val="Normal"/>
        <w:ind w:hanging="2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ind w:hanging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2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/>
        <w:drawing>
          <wp:inline distT="0" distB="0" distL="0" distR="0">
            <wp:extent cx="1057275" cy="687705"/>
            <wp:effectExtent l="0" t="0" r="0" b="0"/>
            <wp:docPr id="2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"/>
      <w:type w:val="nextPage"/>
      <w:pgSz w:w="11906" w:h="16838"/>
      <w:pgMar w:left="1134" w:right="1134" w:header="0" w:top="851" w:footer="709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Georgia">
    <w:charset w:val="ba"/>
    <w:family w:val="roman"/>
    <w:pitch w:val="variable"/>
  </w:font>
  <w:font w:name="Verdana">
    <w:charset w:val="ba"/>
    <w:family w:val="roman"/>
    <w:pitch w:val="variable"/>
  </w:font>
  <w:font w:name="Calibri">
    <w:charset w:val="ba"/>
    <w:family w:val="roman"/>
    <w:pitch w:val="variable"/>
  </w:font>
  <w:font w:name="Courier New">
    <w:charset w:val="ba"/>
    <w:family w:val="roman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hanging="2"/>
      <w:jc w:val="right"/>
      <w:rPr>
        <w:rFonts w:ascii="Verdana" w:hAnsi="Verdana" w:eastAsia="Verdana" w:cs="Verdana"/>
        <w:color w:val="000000"/>
        <w:sz w:val="16"/>
        <w:szCs w:val="16"/>
      </w:rPr>
    </w:pPr>
    <w:r>
      <w:rPr>
        <w:rFonts w:eastAsia="Verdana" w:cs="Verdana" w:ascii="Verdana" w:hAnsi="Verdana"/>
        <w:color w:val="000000"/>
        <w:sz w:val="16"/>
        <w:szCs w:val="16"/>
      </w:rPr>
      <w:fldChar w:fldCharType="begin"/>
    </w:r>
    <w:r>
      <w:rPr>
        <w:sz w:val="16"/>
        <w:szCs w:val="16"/>
        <w:rFonts w:eastAsia="Verdana" w:cs="Verdana" w:ascii="Verdana" w:hAnsi="Verdana"/>
        <w:color w:val="000000"/>
      </w:rPr>
      <w:instrText> PAGE </w:instrText>
    </w:r>
    <w:r>
      <w:rPr>
        <w:sz w:val="16"/>
        <w:szCs w:val="16"/>
        <w:rFonts w:eastAsia="Verdana" w:cs="Verdana" w:ascii="Verdana" w:hAnsi="Verdana"/>
        <w:color w:val="000000"/>
      </w:rPr>
      <w:fldChar w:fldCharType="separate"/>
    </w:r>
    <w:r>
      <w:rPr>
        <w:sz w:val="16"/>
        <w:szCs w:val="16"/>
        <w:rFonts w:eastAsia="Verdana" w:cs="Verdana" w:ascii="Verdana" w:hAnsi="Verdana"/>
        <w:color w:val="000000"/>
      </w:rPr>
      <w:t>3</w:t>
    </w:r>
    <w:r>
      <w:rPr>
        <w:sz w:val="16"/>
        <w:szCs w:val="16"/>
        <w:rFonts w:eastAsia="Verdana" w:cs="Verdana" w:ascii="Verdana" w:hAnsi="Verdana"/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right="360" w:hanging="2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hang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t-EE" w:bidi="ar-SA"/>
    </w:rPr>
  </w:style>
  <w:style w:type="paragraph" w:styleId="Pealkiri1">
    <w:name w:val="Heading 1"/>
    <w:basedOn w:val="Normal"/>
    <w:next w:val="Normal"/>
    <w:qFormat/>
    <w:pPr>
      <w:keepNext w:val="true"/>
      <w:outlineLvl w:val="0"/>
    </w:pPr>
    <w:rPr>
      <w:b/>
    </w:rPr>
  </w:style>
  <w:style w:type="paragraph" w:styleId="Pealkiri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Pealkiri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e3603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16ef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16efc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616efc"/>
    <w:rPr>
      <w:b/>
      <w:bCs/>
      <w:sz w:val="20"/>
      <w:szCs w:val="20"/>
    </w:rPr>
  </w:style>
  <w:style w:type="character" w:styleId="Internetilink">
    <w:name w:val="Internetilink"/>
    <w:basedOn w:val="DefaultParagraphFont"/>
    <w:uiPriority w:val="99"/>
    <w:unhideWhenUsed/>
    <w:rsid w:val="00a32ea4"/>
    <w:rPr>
      <w:color w:val="0000FF" w:themeColor="hyperlink"/>
      <w:u w:val="single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a32ea4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93496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893496"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iitel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3603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16ef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616efc"/>
    <w:pPr/>
    <w:rPr>
      <w:b/>
      <w:bCs/>
    </w:rPr>
  </w:style>
  <w:style w:type="paragraph" w:styleId="Revision">
    <w:name w:val="Revision"/>
    <w:uiPriority w:val="99"/>
    <w:semiHidden/>
    <w:qFormat/>
    <w:rsid w:val="009d3a66"/>
    <w:pPr>
      <w:widowControl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t-EE" w:bidi="ar-SA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semiHidden/>
    <w:unhideWhenUsed/>
    <w:rsid w:val="00893496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Jalus">
    <w:name w:val="Footer"/>
    <w:basedOn w:val="Normal"/>
    <w:link w:val="FooterChar"/>
    <w:uiPriority w:val="99"/>
    <w:semiHidden/>
    <w:unhideWhenUsed/>
    <w:rsid w:val="00893496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andras.ee/tunnustamine" TargetMode="External"/><Relationship Id="rId4" Type="http://schemas.openxmlformats.org/officeDocument/2006/relationships/image" Target="media/image2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9E2C388FA0D4C9A58D406311ACDED" ma:contentTypeVersion="14" ma:contentTypeDescription="Create a new document." ma:contentTypeScope="" ma:versionID="1dad2cea837219c5b8ae9b2efca0e0a9">
  <xsd:schema xmlns:xsd="http://www.w3.org/2001/XMLSchema" xmlns:xs="http://www.w3.org/2001/XMLSchema" xmlns:p="http://schemas.microsoft.com/office/2006/metadata/properties" xmlns:ns3="69919cd6-d702-40ae-ac0b-59ab2523c457" xmlns:ns4="aaa974c6-d716-4e7c-82c8-cc7dabd666a4" targetNamespace="http://schemas.microsoft.com/office/2006/metadata/properties" ma:root="true" ma:fieldsID="5b71b820d337c37178289032a1ca6e8e" ns3:_="" ns4:_="">
    <xsd:import namespace="69919cd6-d702-40ae-ac0b-59ab2523c457"/>
    <xsd:import namespace="aaa974c6-d716-4e7c-82c8-cc7dabd66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9cd6-d702-40ae-ac0b-59ab2523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74c6-d716-4e7c-82c8-cc7dabd66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D9579-D223-4927-9D80-5DDDF8B03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9F53D-FDB0-4A31-9DB7-56A2967930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AA960A-986C-4905-AFD9-F0C3E4FB4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19cd6-d702-40ae-ac0b-59ab2523c457"/>
    <ds:schemaRef ds:uri="aaa974c6-d716-4e7c-82c8-cc7dabd66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LibreOffice/7.1.3.2$Windows_X86_64 LibreOffice_project/47f78053abe362b9384784d31a6e56f8511eb1c1</Application>
  <AppVersion>15.0000</AppVersion>
  <Pages>3</Pages>
  <Words>320</Words>
  <Characters>2532</Characters>
  <CharactersWithSpaces>2859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2022-04-08T07:16:00Z</dcterms:created>
  <dc:creator>Heli Lehtsaar-Karma</dc:creator>
  <dc:description/>
  <dc:language>et-EE</dc:language>
  <cp:lastModifiedBy>Ruth Kuriks</cp:lastModifiedBy>
  <dcterms:modified xsi:type="dcterms:W3CDTF">2022-04-12T08:53:00Z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0x0101006559E2C388FA0D4C9A58D406311ACDED</vt:lpwstr>
  </property>
</Properties>
</file>